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2019/34 vom 9. Februar 2021</w:t>
      </w:r>
    </w:p>
    <w:p>
      <w:r>
        <w:t>Sg Versicherungsgericht, 2021-02-09, DE</w:t>
      </w:r>
    </w:p>
    <w:p>
      <w:r>
        <w:rPr>
          <w:b/>
        </w:rPr>
        <w:t xml:space="preserve">Quelle: </w:t>
      </w:r>
      <w:r>
        <w:t>https://mcp.opencaselaw.ch/entscheid/sg_publikationen_IV 2019_34</w:t>
      </w:r>
    </w:p>
    <w:p>
      <w:r>
        <w:t>FR: SG_VERSICHERUNGSGERICHT IV 2019/34 du 9 février 2021</w:t>
      </w:r>
    </w:p>
    <w:p>
      <w:r>
        <w:t>IT: SG_VERSICHERUNGSGERICHT IV 2019/34 del 9 febbraio 2021</w:t>
      </w:r>
    </w:p>
    <w:p>
      <w:pPr>
        <w:pStyle w:val="Heading2"/>
      </w:pPr>
      <w:r>
        <w:t>Regeste</w:t>
      </w:r>
    </w:p>
    <w:p>
      <w:r>
        <w:t>Art. 43 Abs. 1 ATSG. Verletzung des Untersuchungsgrundsatzes. Teilweise Gutheissung der Beschwerde und Rückweisung der Sache zur ergänzenden medizinischen Abklärung (Entscheid des Versicherungsgerichts des Kantons St. Gallen vom 09. Februar 2021, IV 2019/34).</w:t>
      </w:r>
    </w:p>
    <w:p>
      <w:pPr>
        <w:pStyle w:val="Heading2"/>
      </w:pPr>
      <w:r>
        <w:t>Erwägungen</w:t>
      </w:r>
    </w:p>
    <w:p>
      <w:r>
        <w:rPr>
          <w:b/>
        </w:rPr>
        <w:t>E. 1</w:t>
      </w:r>
    </w:p>
    <w:p>
      <w:r>
        <w:t>Mit der angefochtenen Verfügung vom 19. Dezember 2018 hat die Beschwerdegegnerin das Rentenbegehren der Beschwerdeführerin abgewiesen. Da Das Beschwerdeverfahren die Prüfung der Rechtmässigkeit dieser Verfügung zum Ziel hat, muss es sich auf den in der Verfügung enthaltenen Gegenstand beschränken. Folglich ist nur zu prüfen, ob die Beschwerdeführerin im Zeitpunkt der Eröffnung der angefochtenen Verfügung einen Anspruch auf eine Rente der Invalidenversicherung gehabt hat. Auf den Antrag um die Zusprache von beruflichen Eingliederungsmassnahmen kann nicht eingetreten werden, da das Begehren um berufliche Massnahmen mit einer Mitteilung vom 4. Dezember 2017 abgewiesen worden ist; eine beschwerdefähige Verfügung ist damals nicht verlangt worden.</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3.1</w:t>
      </w:r>
    </w:p>
    <w:p>
      <w:r>
        <w:t>.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3.2</w:t>
      </w:r>
    </w:p>
    <w:p>
      <w:r>
        <w:t>Die Beschwerdeführerin hat keine berufliche Ausbildung absolviert und ist vor dem Eintritt der gesundheitsbedingten Erwerbsunfähigkeit als Mitarbeiterin im Küchenbereich eines Restaurants tätig gewesen. Bei der Ausübung dieser Erwerbstätigkeit hat die Beschwerdeführerin keine qualifizierten Berufskenntnisse erworben. Die Akten enthalten keine Hinweise auf eine (erheblich) über- oder unterdurchschnittliche Leistungsfähigkeit der Beschwerdeführerin vor dem Eintritt der Gesundheitsbeeinträchtigung. Der Umstand, dass die Beschwerdeführerin als Hilfsarbeiterin in einer Restaurantküche einen unterdurchschnittlichen Hilfsarbeiterinnenlohn erzielt hat, ist demnach auf die Zwänge des invalidenversicherungsrechtlich nicht massgebenden tatsächlichen Arbeitsmarktes zurückzuführen. Hätte sich ihr eine entsprechende Gelegenheit geboten, hätte die Beschwerdeführerin eine besser entlöhnte Arbeitsstelle angenommen und damit einen durchschnittlichen Hilfsarbeiterinnenlohn erzielt. Die Validenkarriere muss deshalb in der Ausübung einer durchschnittlich entlöhnten Hilfsarbeit bestehen. Von beruflichen Eingliederungsmassnahmen kann keine rentensenkende oder gar rentenausschliessende Wirkung erwartet werden, denn eine (notwendigerweise) höherwertige Umschulung wäre zum Scheitern verurteilt, weil die Beschwerdeführerin damit überfordert und zudem durch ihre Krankheit und Arbeitsunfähigkeit nicht ausreichend ausbildungs- bzw. umschulungsfähig wäre. Damit bildet die Tätigkeit als Hilfsarbeiterin mit einem durchschnittlichen Hilfsarbeiterlohn auch die Invalidenkarriere der Beschwerdeführerin. Das bedeutet, dass der Ausgangswert zur Ermittlung des zumutbarerweise erzielbaren Invalideneinkommens während des gesamten massgebenden Zeitraums dem Valideneinkommen entsprochen hat. Der Invaliditätsgrad ist deshalb anhand eines sogenannten Prozentvergleichs zu ermitteln, er entspricht also dem Arbeitsunfähigkeitsgrad, allenfalls (analog dem sog. Tabellenlohnabzug) korrigiert um einen zusätzlichen Abzug.</w:t>
      </w:r>
    </w:p>
    <w:p>
      <w:r>
        <w:rPr>
          <w:b/>
        </w:rPr>
        <w:t>E. 3.3</w:t>
      </w:r>
    </w:p>
    <w:p>
      <w:r>
        <w:t>Die Beschwerdegegnerin hat auf die Arbeitsfähigkeitsschätzung im K.___-Gutachten abgestellt.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Die Sachverständigen haben die ihnen zur Verfügung stehenden Vorakten verarbeitet und in ihre medizinische Beurteilung einbezogen. Die Beschwerdeführerin hat diesbezüglich vorgebracht, dass die Gutachter nicht über alle Vorakten verfügt hätten. Ihnen hätten der Austrittsbericht der Klinik E.___ AG vom 27. Juli 2015 (IV-act. 115-8 ff.) und der Austrittsbericht der psychiatrischen Tagesklinik F.___ vom 1. Juli 2016 (IV-act. 115-16 ff.) nicht vor­gelegen. Der Austrittsbericht der Klinik E.___ AG vom 27. Juli 2015 betrifft den stationären Aufenthalt vom 19. Mai bis 20. Juni 2015. Den Gutachtern hat ein Bericht der Klinik E.___ AG vom 27. August 2015 (IV-act. 33) vorgelegen, der sich zu demselben stationären Aufenthalt geäussert hat. Der Austrittsbericht der Tagesklinik F.___ beschlägt einen Aufenthalt vom 6. Juli 2015 bis 31. Mai 2016. Die Gutachter haben über einen Bericht der Tagesklinik F.___ vom 22. Juni 2016 verfügt (IV-act. 62), der über den gleichen Zeitraum berichtet hat. Aus den Austrittsberichten geht keine neue Diagnose hervor; der psychiatrische Gutachter hat sich mit den von der Klinik E.___ AG und der Tagesklinik F.___ attestierten Diagnosen auseinandergesetzt (IV-act. 99, S. 33). Insgesamt enthalten die Austrittsberichte keine wesentlichen, neuen Informationen, die den Gutachtern nicht bereits aus den IV-Arztberichten vom 27. August 2015 und 22. Juni 2016 bekannt gewesen wären. Den IV-Arztberichten vom 27. August 2015 und 22. Juni 2016 sind gar mehr relevante Informationen (wie die Angaben über die körperlichen, geistigen und psychischen Einschränkungen, über die Prognose und die Arbeitsfähigkeitsschätzung) zu entnehmen, die für die Beurteilung der Arbeitsfähigkeit und damit auch für die Begutachtung von Relevanz gewesen sind. Die Steigerung einer Medikation belegt, entgegen der Ansicht der Beschwerdeführerin, für sich allein keine Verschlechterung des Gesundheitszustandes und ist damit für die Beurteilung der Arbeitsfähigkeit nicht relevant. Damit haben die Sachverständigen über sämtliche relevante Vorakten verfügt. Sie haben die Beschwerdeführerin denn auch befragt und sie je persönlich untersucht. In ihren Teilgutachten haben sie die von ihnen erhobenen objektiven klinischen Befunde anschaulich und vollständig dargelegt (IV-act. 99, S. 31 f., S. 38 ff., S. 47 f.) und in ihrer Art und Schwere gewürdigt, wobei sie sich auch mit den Angaben der Beschwerdeführerin auseinandergesetzt haben. Sie haben ihre versicherungsmedizinische Beurteilung detailliert begründet (S. 32 ff., S. 40 ff., S. 48 ff.). Weiter haben sich die Sachverständigen mit den bisherigen Behandlungen, Therapien und früheren diagnostischen Einschätzungen auseinandergesetzt (S. 32 ff., S. 41, S. 49 f.). Die von den Sachverständigen gestellten Diagnosen sind aufgrund der Untersuchungsbefunde nachvollziehbar (S. 35, S. 43, S. 51). Abschliessend haben die Sachverständigen der K.___ AG gestützt auf ihre umfassenden Untersuchungen eine interdisziplinäre Beurteilung der Arbeitsfähigkeit sowohl für die angestammte als auch für eine leidensadaptierte Tätigkeit abgegeben (S. 36, S. 43 f., S. 51). Bei der Arbeitsfähigkeitsschätzung für die zuletzt ausgeübte und eine adaptierte Tätigkeit führte der psychiatrische Sachverständige Dr. P.___ aus (S. 36), dass während der stationären/halbstationären Behandlung eine Einschränkung der Arbeitsfähigkeit bestanden habe, wie dies auch aktenkundig sei. Aus psychiatrisch-gutachterlicher Sicht bestehe jedoch keine anhaltende Arbeitsunfähigkeit. Psychiatrische Diagnosen, die mit einer Einschränkung der Arbeitsfähigkeit einhergehen würden, lägen nicht vor. Diese Ausführungen in seinem Teilgutachten sind unklar und widersprechen der polydisziplinären Arbeitsfähigkeitsschätzung. Insbesondere ist sowohl für die angestammte als auch eine adaptierte Tätigkeit nicht klar, wie hoch die Arbeitsfähigkeit während dem stationären Aufenthalt in der Klinik E.___ AG vom 19. Mai 20. Juni 2015 (IV-act. 33) und dem teilstationären Aufenthalt (an 5 Tagen in der Woche) in der psychiatrischen Tageklinik F.___ vom 6. Juli 2015 bis 31. Mai 2016 (IV-act. 62) gewesen ist. Denn gemäss den Facharztberichten der Klinik hatte im Zeitraum der voranstehenden Klinikaufenthalte je eine volle Arbeitsunfähigkeit bestanden (IV-act. 33-4 und 62-4). Auf diese aktenkundigen Arbeitsfähigkeitsschätzungen betreffend die stationären/halbstationären Klinikaufenthalte der Beschwerdeführerin hat sich Dr. P.___ in der Arbeitsfähigkeitsschätzung in seinem Teilgutachten konkret bezogen. Diese Arbeitsfähigkeitsschätzung ist jedoch nicht vereinbar mit der polydisziplinären Arbeitsfähigkeitsschätzung, wonach in der angestammten Tätigkeit seit 16. Juni 2014 und in einer leidensadaptierten Tätigkeit seit der Kündigung der Arbeitsstelle im November 2015 eine 20% Arbeitsunfähigkeit bestehe. Die Beschwerdegegnerin hätte die widersprüchlichen und unklaren Ausführungen bei den Arbeitsfähigkeitsschätzungen (insbesondere bezüglich der Frage, inwieweit während der stationären/teilstationären Behandlungen eine Arbeitsunfähigkeit in der angestammten und einer adaptierten Tätigkeit bestanden hat) klären müssen. Indem sie dies nicht getan hat, hat sie Art. 43 Abs. 1 ATSG verletzt, der sie verpflichtet, die notwendigen Abklärungen von Amtes wegen vorzunehmen. Da eine Ergänzung bzw. Klarstellung im Sinne der obigen Ausführungen bislang nicht erfolgt ist, ist die Sache an die Beschwerdegegnerin zurückzuweisen. Nach der Auffassung des Bundesgerichts ist die Rückweisung in diesem Fall zulässig (vgl. BGE 137 V 210, E. 4.4.1.4, wonach eine Sache zurückgewiesen werden kann, wenn lediglich eine Klarstellung, Präzisierung oder Ergänzung von gutachtlichen Ausführungen erforderlich ist; vgl. auch Urteil des Bundesgerichts vom 15. November 2019, 8C_525/2019, E. 3.3). Die Beschwerdegegnerin wird damit die verbleibende Arbeitsfähigkeit mittels Rückfrage bei der Gutachterstelle K.___ AG ergänzend abzuklären haben. Die Sache ist daher zur Gutachtensergänzung an die Beschwerdegegnerin zurückzuweisen.</w:t>
      </w:r>
    </w:p>
    <w:p>
      <w:r>
        <w:rPr>
          <w:b/>
        </w:rPr>
        <w:t>E. 4.1</w:t>
      </w:r>
    </w:p>
    <w:p>
      <w:r>
        <w:t>Am 8. Januar 2019 (IV-act. 135) liess die Beschwerdeführerin Unterlagen aus dem Q.___ betreffend einen dortigen Spitalaufenthalt im Dezember 2018 (kurz nach dem Verfügungserlass) aufgrund von einer HNO-Problematik einreichen. Diese Unterlagen sind nicht in Deutsch abgefasst und grösstenteils unleserlich. Rechtsprechungsgemäss hat das Sozialversicherungsgericht auf den Sachverhalt bis zum Zeitpunkt des Erlasses der streitigen Verfügung abzustellen (BGE 139 V 335 E. 6.2). Später eintretenden Tatsachen ist nicht im Rahmen des hängigen Beschwerdeverfahrens, sondern im Rahmen eines allfälligen späteren Verwaltungsverfahrens Rechnung zu tragen. Sind später eingetretene, mit dem Streitgegenstand in einem engen Sachzusammenhang stehende Tatsachen indes geeignet, die Beurteilung des im Zeitpunkt des Erlasses der Verfügung bestehenden Sachverhalts zu beeinflussen, so sind sie im laufenden Verfahren zu berücksichtigen (Entscheid 8C_357/2016 des Bundesgerichts vom 7. Oktober 2016, E. 3.2 und Entscheid 9C_67/2012 des Bundesgerichts vom 4. Juli 2012, E. 2.2). Gemäss den Akten sind bei der Beschwerdeführerin bereits früher Schwindelprobleme aufgetreten (siehe bspw. IV-act. 86-8). So hat den auch der neurologische Gutachter Dr. med. G. Steuerwald in seinem Teilgutachten (S. 49) vermerkt, dass die Beschwerdeführerin von einer seit April 2017 bestehenden Schwindelsymptomatik berichtet habe. Eine Mindererregbarkeit des Labyrinthorgans sei nachgewiesen. Daher ist nicht auszuschliessen, dass im Zeitpunkt der Verfügung im Zusammenhang mit dem Schwindel eine Diagnose mit Auswirkungen auf die Arbeitsfähigkeit vorgelegen haben könnte. Die Beschwerdegegnerin hat vor Erlass einer neuen Verfügung diesbezüglich Abklärungen zu treffen und insbesondere aktuelle Unterlagen einzufordern, da, wie die Beschwerdeführerin in IV-act. 135 vermerkt hat, nach dem Vorfall im Q.___ eine weitere Abklärung der Schwindelproblematik in der Schweiz vorgenommen worden ist.</w:t>
      </w:r>
    </w:p>
    <w:p>
      <w:r>
        <w:rPr>
          <w:b/>
        </w:rPr>
        <w:t>E. 4.2</w:t>
      </w:r>
    </w:p>
    <w:p>
      <w:r>
        <w:t>Die Beschwerdeführerin hat weiter eine erneute Begutachtung unter Einbezug eines neuropsychologischen Sachverständigen beantragt. Die Beschwerdeführerin ist durch die K.___ AG bereits umfassend abgeklärt worden. Sowohl nach der Auffassung des RAD als auch nach der Auffassung der Sachverständigen der K.___ AG ist das Gutachten − jedoch unter Beachtung der obigen Ausführungen bezüglich der unklaren und widersprüchlichen Arbeitsfähigkeitsschätzungen − vollständig. Gegenteiliges ist den Akten nicht zu entnehmen. Selbst für einen medizinischen Laien ist erkennbar, dass mit den an der Begutachtung beteiligten Fachdisziplinen eine umfassende und vollständige Beurteilung des Gesundheitszustandes der Beschwerdeführerin vorgenommen worden ist. Der Beizug eines neuropsychologischen Sachverständigen würde keine neuen Erkenntnisse bringen, so dass in antizipierender Beweiswürdigung auf die beantragte ergänzende Beurteilung durch einen neuropsychologischen Sachverständigen zu verzichten ist.</w:t>
      </w:r>
    </w:p>
    <w:p>
      <w:r>
        <w:rPr>
          <w:b/>
        </w:rPr>
        <w:t>E. 5</w:t>
      </w:r>
    </w:p>
    <w:p>
      <w:r>
        <w:t>Zusammenfassend ist die angefochtene Verfügung vom 19. Dezember 2018 in teilweiser Gutheissung der Beschwerde aufzuheben. Die Sache ist zur Ergänzung der Sachverhaltsabklärung im Sinne der Erwägungen an die Beschwerdegegnerin zurückzuweisen.</w:t>
      </w:r>
    </w:p>
    <w:p>
      <w:r>
        <w:rPr>
          <w:b/>
        </w:rPr>
        <w:t>E. 6.1</w:t>
      </w:r>
    </w:p>
    <w:p>
      <w:r>
        <w:t>Das Beschwerdeverfahren ist kostenpflichtig. Die Kosten werden nach dem Verfahrensaufwand und unabhängig vom Streitwert im Rahmen von 200 bis 1'000 Franken festgelegt (Art. 69 Abs. 1 bis IVG). Eine Gerichtsgebühr von 600 Franken erscheint in der vorliegend zu beurteilenden Angelegenheit als angemessen. Praxisgemäss ist die Rückweisung an die Verwaltung zur weiteren Abklärung als volles Obsiegen der Beschwerdeführerin zu werten (vgl. BGE 132 V 235 E. 6.1). Dementsprechend ist die Gerichtsgebühr von 600 Franken vollumfänglich der Beschwerdegegnerin aufzuerlegen. Der in gleicher Höhe geleistete Kostenvorschuss wird der Beschwerdeführerin zurückerstattet.</w:t>
      </w:r>
    </w:p>
    <w:p>
      <w:r>
        <w:rPr>
          <w:b/>
        </w:rPr>
        <w:t>E. 6.2</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1'500 bis 15'000 Franken. Die Rechtsvertreterin der Beschwerdeführerin hat eine Honorarnote in der Höhe von 4'810.75 Franken eingereicht (act. G 6.1). Da sich das Aktenstudium vorliegend aber im durchschnittlichen Rahmen bewegt hat, keine Replik eingereicht worden ist und die Vertretung auch ansonsten nicht übermässig aufwendig gewesen ist, ist die eingereichte Honorarnote als übersetzt zu qualifizieren. Praxisgemäss ist die Parteientschädigung angesichts des insgesamt als durchschnittlich zu bezeichnenden Vertretungsaufwandes auf 3'500 Franken (einschliesslich Barauslagen und Mehrwertsteuer) festzusetzen. Entscheid im Zirkulationsverfahren gemäss Art. 39 VRP In teilweiser Gutheissung der den Rentenanspruch betreffenden Beschwerde wird die angefochtene Verfügung vom 19. Dezember 2018 aufgehoben und die Sache wird zur ergänzenden Abklärung im Sinne der Erwägungen an die Beschwerdegegnerin zurückgewiesen. Auf die Beschwerde betreffend andere IV-Leistungen wird nicht eingetreten. Die Beschwerdegegnerin hat die Gerichtskosten von 600 Franken zu bezahlen; der Beschwerdeführerin wird der von ihr geleistete Kostenvorschuss von 600 Franken zurückerstattet. Die Beschwerdegegnerin hat der Beschwerdeführerin eine Parteientschädigung von 3'500 Franken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